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53" w:rsidRPr="007D4B53" w:rsidRDefault="007D4B53" w:rsidP="007D4B53">
      <w:pPr>
        <w:pBdr>
          <w:bottom w:val="single" w:sz="12" w:space="0" w:color="2F5C93"/>
        </w:pBdr>
        <w:shd w:val="clear" w:color="auto" w:fill="FFFFFF"/>
        <w:spacing w:before="80" w:after="8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bookmarkStart w:id="0" w:name="_GoBack"/>
      <w:bookmarkEnd w:id="0"/>
      <w:r w:rsidRPr="007D4B53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За качели на детской площадке ответственна управляющая компания</w:t>
      </w:r>
    </w:p>
    <w:p w:rsidR="007D4B53" w:rsidRPr="007D4B53" w:rsidRDefault="007D4B53" w:rsidP="007D4B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</w:rPr>
      </w:pPr>
    </w:p>
    <w:p w:rsidR="007D4B53" w:rsidRPr="007D4B53" w:rsidRDefault="007D4B53" w:rsidP="007D4B53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Зачастую детские площадки во дворах жилых домов не отвечают предъявляемым требованиям, нередки случаи получения детьми травм при использовании оборудования таких площадок. Недостатками конструкций игровых площадок могут быть опасные выступы в зоне приземления, шероховатая поверхность конструкций, посторонние предметы, неисправность, выступающие концы гвоздей, отсутствие стока воды и другие.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К оборудованию детских площадок законодательством предъявляются определенные требования, направленные на защиту жизни или здоровья граждан.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 xml:space="preserve">Такие требования установлены ГОСТ </w:t>
      </w:r>
      <w:proofErr w:type="gramStart"/>
      <w:r w:rsidRPr="007D4B53">
        <w:rPr>
          <w:rFonts w:ascii="Arial" w:eastAsia="Times New Roman" w:hAnsi="Arial" w:cs="Arial"/>
          <w:color w:val="000000"/>
          <w:sz w:val="14"/>
          <w:szCs w:val="14"/>
        </w:rPr>
        <w:t>Р</w:t>
      </w:r>
      <w:proofErr w:type="gramEnd"/>
      <w:r w:rsidRPr="007D4B53">
        <w:rPr>
          <w:rFonts w:ascii="Arial" w:eastAsia="Times New Roman" w:hAnsi="Arial" w:cs="Arial"/>
          <w:color w:val="000000"/>
          <w:sz w:val="14"/>
          <w:szCs w:val="14"/>
        </w:rPr>
        <w:t xml:space="preserve"> 52169-2012 «Оборудование и покрытие детских игровых площадок. Безопасность при эксплуатации. Общие требования», предусматривающим, что оборудование и элементы оборудования должны соответствовать общим требованиям безопасности и мерам защиты, соответствовать возрастной группе детей, для которой они предназначены; быть такими, чтобы риск, предполагаемый в игре, был явным для </w:t>
      </w:r>
      <w:proofErr w:type="gramStart"/>
      <w:r w:rsidRPr="007D4B53">
        <w:rPr>
          <w:rFonts w:ascii="Arial" w:eastAsia="Times New Roman" w:hAnsi="Arial" w:cs="Arial"/>
          <w:color w:val="000000"/>
          <w:sz w:val="14"/>
          <w:szCs w:val="14"/>
        </w:rPr>
        <w:t>ребенка</w:t>
      </w:r>
      <w:proofErr w:type="gramEnd"/>
      <w:r w:rsidRPr="007D4B53">
        <w:rPr>
          <w:rFonts w:ascii="Arial" w:eastAsia="Times New Roman" w:hAnsi="Arial" w:cs="Arial"/>
          <w:color w:val="000000"/>
          <w:sz w:val="14"/>
          <w:szCs w:val="14"/>
        </w:rPr>
        <w:t xml:space="preserve"> и он мог его предвидеть, обеспечивать доступ взрослых для помощи детям внутри оборудования и т.д.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Жилищным законодательством установлено,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Детские площадки, расположенные в границах земельного участка, на котором расположен многоквартирный дом, включаются в состав общего имущества многоквартирного дома.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Земельный участок с элементами озеленения и благоустройства, на котором расположен многоквартирный дом, принадлежит на праве общей долевой собственности собственникам помещений в доме.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Таким образом, содержание элементов благоустройства в границах придомовой территории относится к обязанностям лица, осуществляющего управление домом, независимо от того, упомянуты ли они в договоре и имеется ли по вопросу их выполнения решение общего собрания собственников помещений в жилом доме.</w:t>
      </w:r>
    </w:p>
    <w:p w:rsidR="007D4B53" w:rsidRPr="007D4B53" w:rsidRDefault="007D4B53" w:rsidP="007D4B53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000000"/>
          <w:sz w:val="14"/>
          <w:szCs w:val="14"/>
        </w:rPr>
      </w:pPr>
      <w:r w:rsidRPr="007D4B53">
        <w:rPr>
          <w:rFonts w:ascii="Arial" w:eastAsia="Times New Roman" w:hAnsi="Arial" w:cs="Arial"/>
          <w:color w:val="000000"/>
          <w:sz w:val="14"/>
          <w:szCs w:val="14"/>
        </w:rPr>
        <w:t>Такая позиция основана на законодательстве и нашла отражение </w:t>
      </w:r>
      <w:hyperlink r:id="rId5" w:history="1">
        <w:r w:rsidRPr="007D4B53">
          <w:rPr>
            <w:rFonts w:ascii="Arial" w:eastAsia="Times New Roman" w:hAnsi="Arial" w:cs="Arial"/>
            <w:color w:val="2F5C93"/>
            <w:sz w:val="14"/>
            <w:u w:val="single"/>
          </w:rPr>
          <w:t>в определении Верховного суда Российской Федерации от 25.08.2020 № 303-ЭС20-11665</w:t>
        </w:r>
      </w:hyperlink>
      <w:r w:rsidRPr="007D4B53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3"/>
    <w:rsid w:val="00276BA1"/>
    <w:rsid w:val="004F676D"/>
    <w:rsid w:val="007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4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4692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2020-12-11T02:52:00Z</dcterms:created>
  <dcterms:modified xsi:type="dcterms:W3CDTF">2020-12-11T02:52:00Z</dcterms:modified>
</cp:coreProperties>
</file>